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left"/>
        <w:rPr>
          <w:b/>
          <w:b/>
          <w:bCs/>
          <w:sz w:val="26"/>
          <w:szCs w:val="26"/>
        </w:rPr>
      </w:pPr>
      <w:r>
        <w:rPr>
          <w:rFonts w:cs="Times New Roman" w:ascii="Times New Roman" w:hAnsi="Times New Roman"/>
          <w:b/>
          <w:bCs/>
          <w:sz w:val="26"/>
          <w:szCs w:val="26"/>
        </w:rPr>
        <w:t>Or. 062.7.2025</w:t>
      </w:r>
    </w:p>
    <w:p>
      <w:pPr>
        <w:pStyle w:val="Normal"/>
        <w:jc w:val="center"/>
        <w:rPr>
          <w:b/>
          <w:b/>
          <w:bCs/>
          <w:sz w:val="26"/>
          <w:szCs w:val="26"/>
        </w:rPr>
      </w:pPr>
      <w:r>
        <w:rPr>
          <w:rFonts w:cs="Times New Roman" w:ascii="Times New Roman" w:hAnsi="Times New Roman"/>
          <w:b/>
          <w:bCs/>
          <w:sz w:val="26"/>
          <w:szCs w:val="26"/>
        </w:rPr>
        <w:t>OGŁOSZENIE</w:t>
      </w:r>
    </w:p>
    <w:p>
      <w:pPr>
        <w:pStyle w:val="Normal"/>
        <w:jc w:val="center"/>
        <w:rPr>
          <w:b/>
          <w:b/>
          <w:bCs/>
          <w:sz w:val="26"/>
          <w:szCs w:val="26"/>
        </w:rPr>
      </w:pPr>
      <w:r>
        <w:rPr>
          <w:rFonts w:cs="Times New Roman" w:ascii="Times New Roman" w:hAnsi="Times New Roman"/>
          <w:b/>
          <w:bCs/>
          <w:sz w:val="26"/>
          <w:szCs w:val="26"/>
        </w:rPr>
        <w:t>WÓJTA GMINY KUŹNICA</w:t>
      </w:r>
    </w:p>
    <w:p>
      <w:pPr>
        <w:pStyle w:val="Normal"/>
        <w:jc w:val="center"/>
        <w:rPr/>
      </w:pPr>
      <w:r>
        <w:rPr>
          <w:rFonts w:cs="Times New Roman" w:ascii="Times New Roman" w:hAnsi="Times New Roman"/>
          <w:b/>
          <w:bCs/>
        </w:rPr>
        <w:t>o konsultacjach społecznych projektu uchwały w sprawie wyznaczenia obszaru zdegradowanego i obszaru rewitalizacji na terenie Gminy Kuźnica</w:t>
      </w:r>
    </w:p>
    <w:p>
      <w:pPr>
        <w:pStyle w:val="Normal"/>
        <w:jc w:val="both"/>
        <w:rPr/>
      </w:pPr>
      <w:r>
        <w:rPr>
          <w:rFonts w:cs="Times New Roman" w:ascii="Times New Roman" w:hAnsi="Times New Roman"/>
        </w:rPr>
        <w:t xml:space="preserve">Wójt Gminy Kuźnica zawiadamia o rozpoczęciu konsultacji społecznych projektu Uchwały Rady Gminy Kuźnica w sprawie wyznaczenia obszaru zdegradowanego i obszaru rewitalizacji na terenie Gminy Kuźnica.  </w:t>
      </w:r>
    </w:p>
    <w:p>
      <w:pPr>
        <w:pStyle w:val="Normal"/>
        <w:jc w:val="both"/>
        <w:rPr>
          <w:rFonts w:ascii="Times New Roman" w:hAnsi="Times New Roman" w:cs="Times New Roman"/>
        </w:rPr>
      </w:pPr>
      <w:r>
        <w:rPr>
          <w:rFonts w:cs="Times New Roman" w:ascii="Times New Roman" w:hAnsi="Times New Roman"/>
        </w:rPr>
        <w:t>Konsultacje mają na celu zebranie od interesariuszy rewitalizacji uwag do wyżej wymienionego projektu uchwały.</w:t>
      </w:r>
    </w:p>
    <w:p>
      <w:pPr>
        <w:pStyle w:val="Normal"/>
        <w:jc w:val="both"/>
        <w:rPr>
          <w:rFonts w:ascii="Times New Roman" w:hAnsi="Times New Roman" w:cs="Times New Roman"/>
        </w:rPr>
      </w:pPr>
      <w:r>
        <w:rPr>
          <w:rFonts w:cs="Times New Roman" w:ascii="Times New Roman" w:hAnsi="Times New Roman"/>
        </w:rPr>
        <w:t xml:space="preserve">Konsultacje przeprowadzone będą </w:t>
      </w:r>
      <w:r>
        <w:rPr>
          <w:rFonts w:cs="Times New Roman" w:ascii="Times New Roman" w:hAnsi="Times New Roman"/>
          <w:b/>
          <w:bCs/>
        </w:rPr>
        <w:t>od dnia 6 października do dnia 12 listopada 2025 r.</w:t>
      </w:r>
      <w:r>
        <w:rPr>
          <w:rFonts w:cs="Times New Roman" w:ascii="Times New Roman" w:hAnsi="Times New Roman"/>
        </w:rPr>
        <w:t xml:space="preserve"> w postaci:</w:t>
      </w:r>
    </w:p>
    <w:p>
      <w:pPr>
        <w:pStyle w:val="ListParagraph"/>
        <w:numPr>
          <w:ilvl w:val="0"/>
          <w:numId w:val="0"/>
        </w:numPr>
        <w:ind w:left="720" w:hanging="0"/>
        <w:jc w:val="both"/>
        <w:rPr/>
      </w:pPr>
      <w:r>
        <w:rPr>
          <w:rFonts w:cs="Times New Roman" w:ascii="Times New Roman" w:hAnsi="Times New Roman"/>
          <w:b/>
          <w:bCs/>
        </w:rPr>
        <w:t xml:space="preserve">1. Zbierania uwag w postaci wypełnionego papierowego lub elektronicznego formularza uwag. </w:t>
      </w:r>
    </w:p>
    <w:p>
      <w:pPr>
        <w:pStyle w:val="ListParagraph"/>
        <w:ind w:left="720" w:hanging="0"/>
        <w:jc w:val="both"/>
        <w:rPr/>
      </w:pPr>
      <w:r>
        <w:rPr>
          <w:rFonts w:cs="Times New Roman" w:ascii="Times New Roman" w:hAnsi="Times New Roman"/>
        </w:rPr>
        <w:tab/>
        <w:t>Formularz dostępny będzie:</w:t>
      </w:r>
    </w:p>
    <w:p>
      <w:pPr>
        <w:pStyle w:val="ListParagraph"/>
        <w:numPr>
          <w:ilvl w:val="0"/>
          <w:numId w:val="1"/>
        </w:numPr>
        <w:jc w:val="both"/>
        <w:rPr>
          <w:rFonts w:ascii="Times New Roman" w:hAnsi="Times New Roman" w:cs="Times New Roman"/>
          <w:b/>
          <w:b/>
          <w:bCs/>
        </w:rPr>
      </w:pPr>
      <w:r>
        <w:rPr>
          <w:rFonts w:cs="Times New Roman" w:ascii="Times New Roman" w:hAnsi="Times New Roman"/>
        </w:rPr>
        <w:t>na stronie internetowej Gminy Kuźnica: https://kuznica.ug.gov.pl/</w:t>
      </w:r>
    </w:p>
    <w:p>
      <w:pPr>
        <w:pStyle w:val="ListParagraph"/>
        <w:numPr>
          <w:ilvl w:val="0"/>
          <w:numId w:val="1"/>
        </w:numPr>
        <w:jc w:val="both"/>
        <w:rPr>
          <w:rFonts w:ascii="Times New Roman" w:hAnsi="Times New Roman" w:cs="Times New Roman"/>
        </w:rPr>
      </w:pPr>
      <w:r>
        <w:rPr>
          <w:rFonts w:cs="Times New Roman" w:ascii="Times New Roman" w:hAnsi="Times New Roman"/>
        </w:rPr>
        <w:t>na stronie podmiotowej Gminy w Biuletynie Informacji Publicznej: https://bip-ugkuznica.wrotapodlasia.pl/</w:t>
      </w:r>
    </w:p>
    <w:p>
      <w:pPr>
        <w:pStyle w:val="ListParagraph"/>
        <w:numPr>
          <w:ilvl w:val="0"/>
          <w:numId w:val="1"/>
        </w:numPr>
        <w:jc w:val="both"/>
        <w:rPr>
          <w:rFonts w:ascii="Times New Roman" w:hAnsi="Times New Roman" w:cs="Times New Roman"/>
        </w:rPr>
      </w:pPr>
      <w:r>
        <w:rPr>
          <w:rFonts w:cs="Times New Roman" w:ascii="Times New Roman" w:hAnsi="Times New Roman"/>
        </w:rPr>
        <w:t>na żądanie osób zainteresowanych w siedzibie Urzędu Gminy Kuźnica</w:t>
      </w:r>
    </w:p>
    <w:p>
      <w:pPr>
        <w:pStyle w:val="ListParagraph"/>
        <w:jc w:val="both"/>
        <w:rPr>
          <w:rFonts w:ascii="Times New Roman" w:hAnsi="Times New Roman" w:cs="Times New Roman"/>
        </w:rPr>
      </w:pPr>
      <w:r>
        <w:rPr>
          <w:rFonts w:cs="Times New Roman" w:ascii="Times New Roman" w:hAnsi="Times New Roman"/>
        </w:rPr>
        <w:t xml:space="preserve">Wypełnione formularze należy dostarczyć: </w:t>
      </w:r>
    </w:p>
    <w:p>
      <w:pPr>
        <w:pStyle w:val="ListParagraph"/>
        <w:numPr>
          <w:ilvl w:val="0"/>
          <w:numId w:val="1"/>
        </w:numPr>
        <w:jc w:val="both"/>
        <w:rPr/>
      </w:pPr>
      <w:r>
        <w:rPr>
          <w:rFonts w:cs="Times New Roman" w:ascii="Times New Roman" w:hAnsi="Times New Roman"/>
        </w:rPr>
        <w:t>drogą elektroniczną na adres e-mailowy:</w:t>
      </w:r>
      <w:r>
        <w:rPr>
          <w:rFonts w:cs="Times New Roman" w:ascii="Times New Roman" w:hAnsi="Times New Roman"/>
          <w:shd w:fill="FFFFFF" w:val="clear"/>
        </w:rPr>
        <w:t xml:space="preserve"> sekretariat@kuznica.ug.gov.pl</w:t>
      </w:r>
    </w:p>
    <w:p>
      <w:pPr>
        <w:pStyle w:val="ListParagraph"/>
        <w:numPr>
          <w:ilvl w:val="0"/>
          <w:numId w:val="1"/>
        </w:numPr>
        <w:jc w:val="both"/>
        <w:rPr>
          <w:rFonts w:ascii="Times New Roman" w:hAnsi="Times New Roman" w:cs="Times New Roman"/>
        </w:rPr>
      </w:pPr>
      <w:r>
        <w:rPr>
          <w:rFonts w:cs="Times New Roman" w:ascii="Times New Roman" w:hAnsi="Times New Roman"/>
        </w:rPr>
        <w:t xml:space="preserve">drogą korespondencyjną na adres: Urząd Gminy Kuźnica, pl. 1000-lecia Państwa Polskiego 1, 16-123 Kuźnica, </w:t>
      </w:r>
    </w:p>
    <w:p>
      <w:pPr>
        <w:pStyle w:val="ListParagraph"/>
        <w:numPr>
          <w:ilvl w:val="0"/>
          <w:numId w:val="1"/>
        </w:numPr>
        <w:jc w:val="both"/>
        <w:rPr/>
      </w:pPr>
      <w:r>
        <w:rPr>
          <w:rFonts w:cs="Times New Roman" w:ascii="Times New Roman" w:hAnsi="Times New Roman"/>
        </w:rPr>
        <w:t xml:space="preserve">bezpośrednio do Urzędu Gminy Kuźnica, pl. 1000-lecia Państwa Polskiego 1, 16-123 Kuźnica, </w:t>
      </w:r>
      <w:r>
        <w:rPr>
          <w:rFonts w:cs="Times New Roman" w:ascii="Times New Roman" w:hAnsi="Times New Roman"/>
          <w:shd w:fill="FFFFFF" w:val="clear"/>
        </w:rPr>
        <w:t>(pokój nr 5 )</w:t>
      </w:r>
      <w:r>
        <w:rPr>
          <w:rFonts w:cs="Times New Roman" w:ascii="Times New Roman" w:hAnsi="Times New Roman"/>
        </w:rPr>
        <w:t xml:space="preserve"> w godzinach pracy Urzędu.</w:t>
      </w:r>
    </w:p>
    <w:p>
      <w:pPr>
        <w:pStyle w:val="ListParagraph"/>
        <w:numPr>
          <w:ilvl w:val="0"/>
          <w:numId w:val="0"/>
        </w:numPr>
        <w:ind w:left="720" w:hanging="0"/>
        <w:rPr/>
      </w:pPr>
      <w:r>
        <w:rPr>
          <w:rFonts w:cs="Times New Roman" w:ascii="Times New Roman" w:hAnsi="Times New Roman"/>
          <w:b/>
          <w:bCs/>
        </w:rPr>
        <w:t>2. Wypełnienia ankiety</w:t>
      </w:r>
      <w:r>
        <w:rPr>
          <w:rFonts w:cs="Times New Roman" w:ascii="Times New Roman" w:hAnsi="Times New Roman"/>
        </w:rPr>
        <w:t xml:space="preserve"> </w:t>
      </w:r>
      <w:r>
        <w:rPr>
          <w:rFonts w:cs="Times New Roman" w:ascii="Times New Roman" w:hAnsi="Times New Roman"/>
          <w:b/>
          <w:bCs/>
        </w:rPr>
        <w:t>on-line</w:t>
      </w:r>
      <w:r>
        <w:rPr>
          <w:rFonts w:cs="Times New Roman" w:ascii="Times New Roman" w:hAnsi="Times New Roman"/>
        </w:rPr>
        <w:t xml:space="preserve"> dostępnej pod adresem: https://forms.office.com/e/mMgzPRL1MM</w:t>
      </w:r>
    </w:p>
    <w:p>
      <w:pPr>
        <w:pStyle w:val="ListParagraph"/>
        <w:numPr>
          <w:ilvl w:val="0"/>
          <w:numId w:val="0"/>
        </w:numPr>
        <w:ind w:left="720" w:hanging="0"/>
        <w:jc w:val="both"/>
        <w:rPr>
          <w:rFonts w:ascii="Times New Roman" w:hAnsi="Times New Roman" w:cs="Times New Roman"/>
        </w:rPr>
      </w:pPr>
      <w:r>
        <w:rPr>
          <w:rFonts w:cs="Times New Roman" w:ascii="Times New Roman" w:hAnsi="Times New Roman"/>
          <w:b/>
          <w:bCs/>
        </w:rPr>
        <w:t>3. Spotkania konsultacyjnego on-line</w:t>
      </w:r>
      <w:r>
        <w:rPr>
          <w:rFonts w:cs="Times New Roman" w:ascii="Times New Roman" w:hAnsi="Times New Roman"/>
        </w:rPr>
        <w:t>, przeprowadzonego za pośrednictwem platformy Microsoft Teams z interesariuszami rewitalizacji, na którym zostanie omówiona metodyka wyznaczenia obszaru zdegradowanego i obszaru rewitalizacji na terenie Gminy Kuźnica. Spotkanie odbędzie się w dniu 20 października 2025 r. o godz.: 13:00. Aby wziąć udział w spotkaniu należy zarejestrować się do dnia 18 października 2025 roku klikając w podany link: https://forms.office.com/e/HFqYGarD9k. Na podanego podczas rejestracji maila zostanie Państwu przesłany właściwy link do spotkania konsultacyjnego.</w:t>
      </w:r>
    </w:p>
    <w:p>
      <w:pPr>
        <w:pStyle w:val="Normal"/>
        <w:jc w:val="both"/>
        <w:rPr>
          <w:rFonts w:ascii="Times New Roman" w:hAnsi="Times New Roman" w:cs="Times New Roman"/>
        </w:rPr>
      </w:pPr>
      <w:r>
        <w:rPr>
          <w:rFonts w:cs="Times New Roman" w:ascii="Times New Roman" w:hAnsi="Times New Roman"/>
          <w:b/>
          <w:bCs/>
        </w:rPr>
        <w:t>Uwagi do projektu uchwały można składać do 12 listopada 2025 r.</w:t>
      </w:r>
      <w:r>
        <w:rPr>
          <w:rFonts w:cs="Times New Roman" w:ascii="Times New Roman" w:hAnsi="Times New Roman"/>
        </w:rPr>
        <w:t xml:space="preserve"> W przypadku dostarczenia uwag za pośrednictwem poczty decyduje data wpływu korespondencji do Urzędu Gminy Kuźnica. </w:t>
      </w:r>
    </w:p>
    <w:p>
      <w:pPr>
        <w:pStyle w:val="Normal"/>
        <w:jc w:val="both"/>
        <w:rPr>
          <w:rFonts w:ascii="Times New Roman" w:hAnsi="Times New Roman" w:cs="Times New Roman"/>
        </w:rPr>
      </w:pPr>
      <w:r>
        <w:rPr>
          <w:rFonts w:cs="Times New Roman" w:ascii="Times New Roman" w:hAnsi="Times New Roman"/>
        </w:rPr>
        <w:t>Poniższe materiały informacyjne zostaną zamieszczone w wersji elektronicznej na stronie podmiotowej Gminy w Biuletynie Informacji Publicznej: https://bip-ugkuznica.wrotapodlasia.pl/ i stronie https://kuznica.ug.gov.pl/ oraz dostępne na żądanie osób zainteresowanych w wersji papierowej w Urzędzie Gminy Kuźnica, pl. 1000-lecia Państwa Polskiego 1, 16-123 Kuźnica:</w:t>
      </w:r>
    </w:p>
    <w:p>
      <w:pPr>
        <w:pStyle w:val="ListParagraph"/>
        <w:numPr>
          <w:ilvl w:val="0"/>
          <w:numId w:val="2"/>
        </w:numPr>
        <w:jc w:val="both"/>
        <w:rPr/>
      </w:pPr>
      <w:r>
        <w:rPr>
          <w:rFonts w:cs="Times New Roman" w:ascii="Times New Roman" w:hAnsi="Times New Roman"/>
        </w:rPr>
        <w:t>projekt Uchwały Rady Gminy Kuźnica w sprawie wyznaczenia obszaru zdegradowanego i obszaru rewitalizacji na terenie Gminy Kuźnica,</w:t>
      </w:r>
    </w:p>
    <w:p>
      <w:pPr>
        <w:pStyle w:val="ListParagraph"/>
        <w:numPr>
          <w:ilvl w:val="0"/>
          <w:numId w:val="2"/>
        </w:numPr>
        <w:jc w:val="both"/>
        <w:rPr/>
      </w:pPr>
      <w:r>
        <w:rPr>
          <w:rFonts w:cs="Times New Roman" w:ascii="Times New Roman" w:hAnsi="Times New Roman"/>
        </w:rPr>
        <w:t>formularz zgłaszania uwag,</w:t>
      </w:r>
    </w:p>
    <w:p>
      <w:pPr>
        <w:pStyle w:val="ListParagraph"/>
        <w:numPr>
          <w:ilvl w:val="0"/>
          <w:numId w:val="2"/>
        </w:numPr>
        <w:jc w:val="both"/>
        <w:rPr>
          <w:rFonts w:ascii="Times New Roman" w:hAnsi="Times New Roman" w:cs="Times New Roman"/>
        </w:rPr>
      </w:pPr>
      <w:r>
        <w:rPr>
          <w:rFonts w:cs="Times New Roman" w:ascii="Times New Roman" w:hAnsi="Times New Roman"/>
        </w:rPr>
        <w:t xml:space="preserve">mapa określająca granice obszaru zdegradowanego i obszaru rewitalizacji, </w:t>
      </w:r>
    </w:p>
    <w:p>
      <w:pPr>
        <w:pStyle w:val="ListParagraph"/>
        <w:numPr>
          <w:ilvl w:val="0"/>
          <w:numId w:val="2"/>
        </w:numPr>
        <w:jc w:val="both"/>
        <w:rPr>
          <w:rFonts w:ascii="Times New Roman" w:hAnsi="Times New Roman" w:cs="Times New Roman"/>
        </w:rPr>
      </w:pPr>
      <w:r>
        <w:rPr>
          <w:rFonts w:cs="Times New Roman" w:ascii="Times New Roman" w:hAnsi="Times New Roman"/>
        </w:rPr>
        <w:t>diagnoza służąca wyznaczeniu obszaru zdegradowanego i obszaru rewitalizacji Gminy Kuźnica.</w:t>
      </w:r>
    </w:p>
    <w:p>
      <w:pPr>
        <w:pStyle w:val="Normal"/>
        <w:jc w:val="center"/>
        <w:rPr>
          <w:rFonts w:ascii="Times New Roman" w:hAnsi="Times New Roman" w:cs="Times New Roman"/>
          <w:b/>
          <w:b/>
          <w:bCs/>
        </w:rPr>
      </w:pPr>
      <w:r>
        <w:rPr>
          <w:sz w:val="20"/>
          <w:szCs w:val="20"/>
        </w:rPr>
      </w:r>
    </w:p>
    <w:p>
      <w:pPr>
        <w:pStyle w:val="Normal"/>
        <w:jc w:val="center"/>
        <w:rPr>
          <w:sz w:val="20"/>
          <w:szCs w:val="20"/>
        </w:rPr>
      </w:pPr>
      <w:r>
        <w:rPr>
          <w:rFonts w:cs="Times New Roman" w:ascii="Times New Roman" w:hAnsi="Times New Roman"/>
          <w:b/>
          <w:bCs/>
          <w:sz w:val="20"/>
          <w:szCs w:val="20"/>
        </w:rPr>
        <w:t>KLAUZULA INFORMACYJNA</w:t>
      </w:r>
    </w:p>
    <w:p>
      <w:pPr>
        <w:pStyle w:val="Normal"/>
        <w:spacing w:lineRule="auto" w:line="240" w:before="0" w:after="0"/>
        <w:jc w:val="both"/>
        <w:rPr>
          <w:sz w:val="24"/>
          <w:szCs w:val="24"/>
        </w:rPr>
      </w:pPr>
      <w:r>
        <w:rPr>
          <w:rFonts w:cs="Times New Roman" w:ascii="Times New Roman" w:hAnsi="Times New Roman"/>
          <w:sz w:val="20"/>
          <w:szCs w:val="20"/>
        </w:rPr>
        <w:t xml:space="preserve">Na podstawie art. 13 ust. 1 i ust. 2 rozporządzenia Parlamentu Europejskiego i Rady (UE) 2016/679 z 27.4.2016 r. w sprawie ochrony osób fizycznych w związku z przetwarzaniem danych osobowych i w sprawie swobodnego przepływu takich danych oraz uchylenia dyrektywy 95/46/WE (dalej: RODO), informuję, że: </w:t>
      </w:r>
    </w:p>
    <w:p>
      <w:pPr>
        <w:pStyle w:val="Normal"/>
        <w:spacing w:lineRule="auto" w:line="240" w:before="0" w:after="0"/>
        <w:jc w:val="both"/>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jc w:val="both"/>
        <w:rPr>
          <w:sz w:val="20"/>
          <w:szCs w:val="20"/>
        </w:rPr>
      </w:pPr>
      <w:r>
        <w:rPr>
          <w:rFonts w:cs="Times New Roman" w:ascii="Times New Roman" w:hAnsi="Times New Roman"/>
          <w:b/>
          <w:bCs/>
          <w:sz w:val="20"/>
          <w:szCs w:val="20"/>
        </w:rPr>
        <w:t>1.</w:t>
      </w:r>
      <w:r>
        <w:rPr>
          <w:rFonts w:cs="Times New Roman" w:ascii="Times New Roman" w:hAnsi="Times New Roman"/>
          <w:sz w:val="20"/>
          <w:szCs w:val="20"/>
        </w:rPr>
        <w:t xml:space="preserve">Administratorem zbieranych i przetwarzanych danych osobowych przez Urząd Gminy Kuźnica jest Wójt Gminy Kuźnica. Adres: pl. 1000-lecia Państwa Polskiego 1, 16-123 Kuźnica, tel.: 85 722 92 81, adres e-mail: sekretariat@kuznica.ug.gov.pl. </w:t>
      </w:r>
    </w:p>
    <w:p>
      <w:pPr>
        <w:pStyle w:val="Normal"/>
        <w:spacing w:lineRule="auto" w:line="240" w:before="0" w:after="0"/>
        <w:jc w:val="both"/>
        <w:rPr>
          <w:sz w:val="20"/>
          <w:szCs w:val="20"/>
        </w:rPr>
      </w:pPr>
      <w:r>
        <w:rPr>
          <w:rFonts w:cs="Times New Roman" w:ascii="Times New Roman" w:hAnsi="Times New Roman"/>
          <w:b/>
          <w:bCs/>
          <w:sz w:val="20"/>
          <w:szCs w:val="20"/>
        </w:rPr>
        <w:t>2.</w:t>
      </w:r>
      <w:r>
        <w:rPr>
          <w:rFonts w:cs="Times New Roman" w:ascii="Times New Roman" w:hAnsi="Times New Roman"/>
          <w:sz w:val="20"/>
          <w:szCs w:val="20"/>
        </w:rPr>
        <w:t xml:space="preserve">Dane kontaktowe inspektora ochrony danych w Urzędzie Gminy Kuźnica: pl. 1000-lecia Państwa Polskiego 1, 16-123 Kuźnica, tel.: 85 722 92 95, adres e-mail: iod@kuznica.ug.gov.pl. </w:t>
      </w:r>
    </w:p>
    <w:p>
      <w:pPr>
        <w:pStyle w:val="Normal"/>
        <w:spacing w:lineRule="auto" w:line="240" w:before="0" w:after="0"/>
        <w:jc w:val="both"/>
        <w:rPr>
          <w:sz w:val="20"/>
          <w:szCs w:val="20"/>
        </w:rPr>
      </w:pPr>
      <w:r>
        <w:rPr>
          <w:rFonts w:cs="Times New Roman" w:ascii="Times New Roman" w:hAnsi="Times New Roman"/>
          <w:b/>
          <w:bCs/>
          <w:sz w:val="20"/>
          <w:szCs w:val="20"/>
        </w:rPr>
        <w:t xml:space="preserve">3. </w:t>
      </w:r>
      <w:r>
        <w:rPr>
          <w:rFonts w:cs="Times New Roman" w:ascii="Times New Roman" w:hAnsi="Times New Roman"/>
          <w:sz w:val="20"/>
          <w:szCs w:val="20"/>
        </w:rPr>
        <w:t>Dane osobowe zbierane i przetwarzane w celu możliwości wykonywania przez Urząd Gminy Kuźnica ustawowych zadań publicznych, określonych min. w ustawie z dnia 8 marca 1990 r. o samorządzie gminnym, art. 6 ust. 1 lit. c ogólnego rozporządzenia Parlamentu Europejskiego i Rady (UE) 2016/679 z 27.4.2016 r. oraz w innych aktach prawa powszechnie obowiązującego do których stosowania z mocy ustawy zobligowany jest Urząd Gminy Kuźnica.</w:t>
      </w:r>
    </w:p>
    <w:p>
      <w:pPr>
        <w:pStyle w:val="Normal"/>
        <w:spacing w:lineRule="auto" w:line="240" w:before="0" w:after="0"/>
        <w:jc w:val="both"/>
        <w:rPr>
          <w:sz w:val="20"/>
          <w:szCs w:val="20"/>
        </w:rPr>
      </w:pPr>
      <w:r>
        <w:rPr>
          <w:rFonts w:cs="Times New Roman" w:ascii="Times New Roman" w:hAnsi="Times New Roman"/>
          <w:b/>
          <w:bCs/>
          <w:sz w:val="20"/>
          <w:szCs w:val="20"/>
        </w:rPr>
        <w:t>4.</w:t>
      </w:r>
      <w:r>
        <w:rPr>
          <w:rFonts w:cs="Times New Roman" w:ascii="Times New Roman" w:hAnsi="Times New Roman"/>
          <w:sz w:val="20"/>
          <w:szCs w:val="20"/>
        </w:rPr>
        <w:t xml:space="preserve"> Dane osobowe od momentu pozyskania będą przechowywane przez okres wynikający z regulacji prawnych (kategorii archiwalnej dokumentacji, określonej w jednolitym rzeczowym wykazie akt dla organów gmin i związków międzygminnych; umowy o dofinansowanie zawartej między beneficjentem a określoną instytucją; trwałości danego projektu i konieczności zachowania dokumentacji projektu do celów kontrolnych itp.). Kryteria okresu przechowywania ustala się w oparciu o klasyfikację i kwalifikację dokumentacji w jednolitym rzeczowym wykazie akt.</w:t>
      </w:r>
    </w:p>
    <w:p>
      <w:pPr>
        <w:pStyle w:val="Normal"/>
        <w:spacing w:lineRule="auto" w:line="240" w:before="0" w:after="0"/>
        <w:jc w:val="both"/>
        <w:rPr>
          <w:sz w:val="20"/>
          <w:szCs w:val="20"/>
        </w:rPr>
      </w:pPr>
      <w:r>
        <w:rPr>
          <w:rFonts w:cs="Times New Roman" w:ascii="Times New Roman" w:hAnsi="Times New Roman"/>
          <w:b/>
          <w:bCs/>
          <w:sz w:val="20"/>
          <w:szCs w:val="20"/>
        </w:rPr>
        <w:t xml:space="preserve">5. </w:t>
      </w:r>
      <w:r>
        <w:rPr>
          <w:rFonts w:cs="Times New Roman" w:ascii="Times New Roman" w:hAnsi="Times New Roman"/>
          <w:sz w:val="20"/>
          <w:szCs w:val="20"/>
        </w:rPr>
        <w:t xml:space="preserve">Przysługuje Państwu prawo dostępu do treści danych oraz ich sprostowania. Jeżeli przetwarzanie danych odbywa się na podstawie zgody na przetwarzanie, petenci mają prawo do cofnięcia zgody na przetwarzanie ich danych osobowych w dowolnym momencie, bez wpływu na zgodność z prawem przetwarzania, którego dokonano na podstawie zgody przed jej cofnięciem. </w:t>
      </w:r>
    </w:p>
    <w:p>
      <w:pPr>
        <w:pStyle w:val="Normal"/>
        <w:spacing w:lineRule="auto" w:line="240" w:before="0" w:after="0"/>
        <w:jc w:val="both"/>
        <w:rPr>
          <w:sz w:val="20"/>
          <w:szCs w:val="20"/>
        </w:rPr>
      </w:pPr>
      <w:r>
        <w:rPr>
          <w:rFonts w:cs="Times New Roman" w:ascii="Times New Roman" w:hAnsi="Times New Roman"/>
          <w:b/>
          <w:bCs/>
          <w:sz w:val="20"/>
          <w:szCs w:val="20"/>
        </w:rPr>
        <w:t>6.</w:t>
      </w:r>
      <w:r>
        <w:rPr>
          <w:rFonts w:cs="Times New Roman" w:ascii="Times New Roman" w:hAnsi="Times New Roman"/>
          <w:sz w:val="20"/>
          <w:szCs w:val="20"/>
        </w:rPr>
        <w:t xml:space="preserve"> Przysługuje Państwu prawo do wniesienia skargi do Prezesa Urzędu Ochrony Danych Osobowych.</w:t>
      </w:r>
    </w:p>
    <w:p>
      <w:pPr>
        <w:pStyle w:val="Normal"/>
        <w:spacing w:lineRule="auto" w:line="240" w:before="0" w:after="0"/>
        <w:jc w:val="both"/>
        <w:rPr>
          <w:sz w:val="20"/>
          <w:szCs w:val="20"/>
        </w:rPr>
      </w:pPr>
      <w:r>
        <w:rPr>
          <w:rFonts w:cs="Times New Roman" w:ascii="Times New Roman" w:hAnsi="Times New Roman"/>
          <w:b/>
          <w:bCs/>
          <w:sz w:val="20"/>
          <w:szCs w:val="20"/>
        </w:rPr>
        <w:t>7.</w:t>
      </w:r>
      <w:r>
        <w:rPr>
          <w:rFonts w:cs="Times New Roman" w:ascii="Times New Roman" w:hAnsi="Times New Roman"/>
          <w:sz w:val="20"/>
          <w:szCs w:val="20"/>
        </w:rPr>
        <w:t xml:space="preserve">Odbiorcami danych będą instytucje uprawnione z mocy prawa. </w:t>
      </w:r>
    </w:p>
    <w:p>
      <w:pPr>
        <w:pStyle w:val="Normal"/>
        <w:spacing w:lineRule="auto" w:line="240" w:before="0" w:after="0"/>
        <w:jc w:val="both"/>
        <w:rPr>
          <w:sz w:val="20"/>
          <w:szCs w:val="20"/>
        </w:rPr>
      </w:pPr>
      <w:r>
        <w:rPr>
          <w:rFonts w:cs="Times New Roman" w:ascii="Times New Roman" w:hAnsi="Times New Roman"/>
          <w:b/>
          <w:bCs/>
          <w:sz w:val="20"/>
          <w:szCs w:val="20"/>
        </w:rPr>
        <w:t>8.</w:t>
      </w:r>
      <w:r>
        <w:rPr>
          <w:rFonts w:cs="Times New Roman" w:ascii="Times New Roman" w:hAnsi="Times New Roman"/>
          <w:sz w:val="20"/>
          <w:szCs w:val="20"/>
        </w:rPr>
        <w:t xml:space="preserve"> W większości przypadków przetwarzanie danych osobowych wynika z przepisów prawa, a ich podawanie jest obowiązkowe. W niektórych sprawach podawanie danych osobowych może być dobrowolne, lecz niezbędne do realizacji celów. W sytuacji dobrowolności podawania danych osobowych osoby zostaną o tym fakcie poinformowane. Niepodanie lub podanie niepełnych danych osobowych może skutkować pozostawieniem wniosku bez rozpatrzenia.</w:t>
      </w:r>
    </w:p>
    <w:sectPr>
      <w:type w:val="nextPage"/>
      <w:pgSz w:w="11906" w:h="16838"/>
      <w:pgMar w:left="1134" w:right="1134" w:header="0" w:top="1134" w:footer="0"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OpenSymbol">
    <w:altName w:val="Arial Unicode MS"/>
    <w:charset w:val="ee"/>
    <w:family w:val="roman"/>
    <w:pitch w:val="variable"/>
  </w:font>
  <w:font w:name="Liberation Sans">
    <w:altName w:val="Arial"/>
    <w:charset w:val="ee"/>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1440" w:hanging="360"/>
      </w:pPr>
      <w:rPr>
        <w:rFonts w:ascii="Courier New" w:hAnsi="Courier New" w:cs="Courier New" w:hint="default"/>
        <w:b/>
        <w:rFonts w:cs="Courier New"/>
      </w:rPr>
    </w:lvl>
    <w:lvl w:ilvl="1">
      <w:start w:val="1"/>
      <w:numFmt w:val="bullet"/>
      <w:lvlText w:val="o"/>
      <w:lvlJc w:val="left"/>
      <w:pPr>
        <w:ind w:left="2160" w:hanging="360"/>
      </w:pPr>
      <w:rPr>
        <w:rFonts w:ascii="Courier New" w:hAnsi="Courier New" w:cs="Courier New" w:hint="default"/>
        <w:b/>
        <w:rFonts w:cs="Courier New"/>
      </w:rPr>
    </w:lvl>
    <w:lvl w:ilvl="2">
      <w:start w:val="1"/>
      <w:numFmt w:val="bullet"/>
      <w:lvlText w:val=""/>
      <w:lvlJc w:val="left"/>
      <w:pPr>
        <w:ind w:left="2880" w:hanging="360"/>
      </w:pPr>
      <w:rPr>
        <w:rFonts w:ascii="Wingdings" w:hAnsi="Wingdings" w:cs="Wingdings" w:hint="default"/>
        <w:rFonts w:cs="Wingdings"/>
      </w:rPr>
    </w:lvl>
    <w:lvl w:ilvl="3">
      <w:start w:val="1"/>
      <w:numFmt w:val="bullet"/>
      <w:lvlText w:val=""/>
      <w:lvlJc w:val="left"/>
      <w:pPr>
        <w:ind w:left="3600" w:hanging="360"/>
      </w:pPr>
      <w:rPr>
        <w:rFonts w:ascii="Symbol" w:hAnsi="Symbol" w:cs="Symbol" w:hint="default"/>
        <w:rFonts w:cs="Symbol"/>
      </w:rPr>
    </w:lvl>
    <w:lvl w:ilvl="4">
      <w:start w:val="1"/>
      <w:numFmt w:val="bullet"/>
      <w:lvlText w:val="o"/>
      <w:lvlJc w:val="left"/>
      <w:pPr>
        <w:ind w:left="4320" w:hanging="360"/>
      </w:pPr>
      <w:rPr>
        <w:rFonts w:ascii="Courier New" w:hAnsi="Courier New" w:cs="Courier New" w:hint="default"/>
        <w:b/>
        <w:rFonts w:cs="Courier New"/>
      </w:rPr>
    </w:lvl>
    <w:lvl w:ilvl="5">
      <w:start w:val="1"/>
      <w:numFmt w:val="bullet"/>
      <w:lvlText w:val=""/>
      <w:lvlJc w:val="left"/>
      <w:pPr>
        <w:ind w:left="5040" w:hanging="360"/>
      </w:pPr>
      <w:rPr>
        <w:rFonts w:ascii="Wingdings" w:hAnsi="Wingdings" w:cs="Wingdings" w:hint="default"/>
        <w:rFonts w:cs="Wingdings"/>
      </w:rPr>
    </w:lvl>
    <w:lvl w:ilvl="6">
      <w:start w:val="1"/>
      <w:numFmt w:val="bullet"/>
      <w:lvlText w:val=""/>
      <w:lvlJc w:val="left"/>
      <w:pPr>
        <w:ind w:left="5760" w:hanging="360"/>
      </w:pPr>
      <w:rPr>
        <w:rFonts w:ascii="Symbol" w:hAnsi="Symbol" w:cs="Symbol" w:hint="default"/>
        <w:rFonts w:cs="Symbol"/>
      </w:rPr>
    </w:lvl>
    <w:lvl w:ilvl="7">
      <w:start w:val="1"/>
      <w:numFmt w:val="bullet"/>
      <w:lvlText w:val="o"/>
      <w:lvlJc w:val="left"/>
      <w:pPr>
        <w:ind w:left="6480" w:hanging="360"/>
      </w:pPr>
      <w:rPr>
        <w:rFonts w:ascii="Courier New" w:hAnsi="Courier New" w:cs="Courier New" w:hint="default"/>
        <w:b/>
        <w:rFonts w:cs="Courier New"/>
      </w:rPr>
    </w:lvl>
    <w:lvl w:ilvl="8">
      <w:start w:val="1"/>
      <w:numFmt w:val="bullet"/>
      <w:lvlText w:val=""/>
      <w:lvlJc w:val="left"/>
      <w:pPr>
        <w:ind w:left="7200" w:hanging="360"/>
      </w:pPr>
      <w:rPr>
        <w:rFonts w:ascii="Wingdings" w:hAnsi="Wingdings" w:cs="Wingdings" w:hint="default"/>
        <w:rFonts w:cs="Wingdings"/>
      </w:rPr>
    </w:lvl>
  </w:abstractNum>
  <w:abstractNum w:abstractNumId="2">
    <w:lvl w:ilvl="0">
      <w:start w:val="1"/>
      <w:numFmt w:val="decimal"/>
      <w:lvlText w:val="%1."/>
      <w:lvlJc w:val="left"/>
      <w:pPr>
        <w:ind w:left="720" w:hanging="360"/>
      </w:pPr>
      <w:rPr>
        <w:sz w:val="22"/>
        <w:szCs w:val="22"/>
        <w:rFonts w:ascii="Times New Roman" w:hAnsi="Times New Roman" w:cs="Times New Roman"/>
      </w:rPr>
    </w:lvl>
    <w:lvl w:ilvl="1">
      <w:start w:val="1"/>
      <w:numFmt w:val="bullet"/>
      <w:lvlText w:val="o"/>
      <w:lvlJc w:val="left"/>
      <w:pPr>
        <w:ind w:left="1440" w:hanging="360"/>
      </w:pPr>
      <w:rPr>
        <w:rFonts w:ascii="Courier New" w:hAnsi="Courier New" w:cs="Courier New" w:hint="default"/>
        <w:b/>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b/>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b/>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14:ligatures w14:val="standardContextual"/>
      </w:rPr>
    </w:rPrDefault>
    <w:pPrDefault>
      <w:pPr>
        <w:spacing w:lineRule="auto" w:line="259"/>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11fd9"/>
    <w:pPr>
      <w:widowControl/>
      <w:suppressAutoHyphens w:val="true"/>
      <w:bidi w:val="0"/>
      <w:spacing w:lineRule="auto" w:line="259" w:before="0" w:after="160"/>
      <w:jc w:val="left"/>
    </w:pPr>
    <w:rPr>
      <w:rFonts w:ascii="Calibri" w:hAnsi="Calibri" w:eastAsia="Calibri" w:cs=""/>
      <w:color w:val="00000A"/>
      <w:sz w:val="22"/>
      <w:szCs w:val="22"/>
      <w:lang w:val="pl-PL" w:eastAsia="en-US" w:bidi="ar-SA"/>
      <w14:ligatures w14:val="none"/>
    </w:rPr>
  </w:style>
  <w:style w:type="paragraph" w:styleId="Nagwek1">
    <w:name w:val="Nagłówek 1"/>
    <w:basedOn w:val="Nagwek"/>
    <w:pPr/>
    <w:rPr/>
  </w:style>
  <w:style w:type="paragraph" w:styleId="Nagwek2">
    <w:name w:val="Nagłówek 2"/>
    <w:basedOn w:val="Nagwek"/>
    <w:pPr/>
    <w:rPr/>
  </w:style>
  <w:style w:type="paragraph" w:styleId="Nagwek3">
    <w:name w:val="Nagłówek 3"/>
    <w:basedOn w:val="Nagwek"/>
    <w:pPr/>
    <w:rPr/>
  </w:style>
  <w:style w:type="character" w:styleId="DefaultParagraphFont" w:default="1">
    <w:name w:val="Default Paragraph Font"/>
    <w:uiPriority w:val="1"/>
    <w:semiHidden/>
    <w:unhideWhenUsed/>
    <w:qFormat/>
    <w:rPr/>
  </w:style>
  <w:style w:type="character" w:styleId="Annotationreference">
    <w:name w:val="annotation reference"/>
    <w:basedOn w:val="DefaultParagraphFont"/>
    <w:uiPriority w:val="99"/>
    <w:semiHidden/>
    <w:unhideWhenUsed/>
    <w:qFormat/>
    <w:rsid w:val="00f11fd9"/>
    <w:rPr>
      <w:sz w:val="16"/>
      <w:szCs w:val="16"/>
    </w:rPr>
  </w:style>
  <w:style w:type="character" w:styleId="TekstkomentarzaZnak" w:customStyle="1">
    <w:name w:val="Tekst komentarza Znak"/>
    <w:basedOn w:val="DefaultParagraphFont"/>
    <w:link w:val="Tekstkomentarza"/>
    <w:uiPriority w:val="99"/>
    <w:qFormat/>
    <w:rsid w:val="00f11fd9"/>
    <w:rPr>
      <w:sz w:val="20"/>
      <w:szCs w:val="20"/>
      <w14:ligatures w14:val="none"/>
    </w:rPr>
  </w:style>
  <w:style w:type="character" w:styleId="TematkomentarzaZnak" w:customStyle="1">
    <w:name w:val="Temat komentarza Znak"/>
    <w:basedOn w:val="TekstkomentarzaZnak"/>
    <w:link w:val="Tematkomentarza"/>
    <w:uiPriority w:val="99"/>
    <w:semiHidden/>
    <w:qFormat/>
    <w:rsid w:val="00cf3a48"/>
    <w:rPr>
      <w:b/>
      <w:bCs/>
      <w:sz w:val="20"/>
      <w:szCs w:val="20"/>
      <w14:ligatures w14:val="none"/>
    </w:rPr>
  </w:style>
  <w:style w:type="character" w:styleId="Czeinternetowe">
    <w:name w:val="Łącze internetowe"/>
    <w:basedOn w:val="DefaultParagraphFont"/>
    <w:uiPriority w:val="99"/>
    <w:unhideWhenUsed/>
    <w:rsid w:val="00cf3a48"/>
    <w:rPr>
      <w:color w:val="0563C1" w:themeColor="hyperlink"/>
      <w:u w:val="single"/>
    </w:rPr>
  </w:style>
  <w:style w:type="character" w:styleId="UnresolvedMention">
    <w:name w:val="Unresolved Mention"/>
    <w:basedOn w:val="DefaultParagraphFont"/>
    <w:uiPriority w:val="99"/>
    <w:semiHidden/>
    <w:unhideWhenUsed/>
    <w:qFormat/>
    <w:rsid w:val="00cf3a48"/>
    <w:rPr>
      <w:color w:val="605E5C"/>
      <w:shd w:fill="E1DFDD" w:val="clear"/>
    </w:rPr>
  </w:style>
  <w:style w:type="character" w:styleId="ListLabel1">
    <w:name w:val="ListLabel 1"/>
    <w:qFormat/>
    <w:rPr>
      <w:rFonts w:cs="Courier New"/>
    </w:rPr>
  </w:style>
  <w:style w:type="character" w:styleId="ListLabel2">
    <w:name w:val="ListLabel 2"/>
    <w:qFormat/>
    <w:rPr>
      <w:rFonts w:ascii="Times New Roman" w:hAnsi="Times New Roman" w:cs="Times New Roman"/>
      <w:sz w:val="22"/>
      <w:szCs w:val="22"/>
    </w:rPr>
  </w:style>
  <w:style w:type="character" w:styleId="Znakiwypunktowania">
    <w:name w:val="Znaki wypunktowania"/>
    <w:qFormat/>
    <w:rPr>
      <w:rFonts w:ascii="OpenSymbol" w:hAnsi="OpenSymbol" w:eastAsia="OpenSymbol" w:cs="OpenSymbol"/>
    </w:rPr>
  </w:style>
  <w:style w:type="character" w:styleId="ListLabel3">
    <w:name w:val="ListLabel 3"/>
    <w:qFormat/>
    <w:rPr>
      <w:rFonts w:ascii="Times New Roman" w:hAnsi="Times New Roman" w:cs="Courier New"/>
      <w:b/>
    </w:rPr>
  </w:style>
  <w:style w:type="character" w:styleId="ListLabel4">
    <w:name w:val="ListLabel 4"/>
    <w:qFormat/>
    <w:rPr>
      <w:rFonts w:cs="Wingdings"/>
    </w:rPr>
  </w:style>
  <w:style w:type="character" w:styleId="ListLabel5">
    <w:name w:val="ListLabel 5"/>
    <w:qFormat/>
    <w:rPr>
      <w:rFonts w:cs="Symbol"/>
    </w:rPr>
  </w:style>
  <w:style w:type="character" w:styleId="ListLabel6">
    <w:name w:val="ListLabel 6"/>
    <w:qFormat/>
    <w:rPr>
      <w:rFonts w:ascii="Times New Roman" w:hAnsi="Times New Roman" w:cs="Times New Roman"/>
      <w:sz w:val="22"/>
      <w:szCs w:val="22"/>
    </w:rPr>
  </w:style>
  <w:style w:type="paragraph" w:styleId="Nagwek">
    <w:name w:val="Nagłówek"/>
    <w:basedOn w:val="Normal"/>
    <w:next w:val="Tretekstu"/>
    <w:qFormat/>
    <w:pPr>
      <w:keepNext/>
      <w:spacing w:before="240" w:after="120"/>
    </w:pPr>
    <w:rPr>
      <w:rFonts w:ascii="Liberation Sans" w:hAnsi="Liberation Sans" w:eastAsia="Microsoft YaHei" w:cs="Arial"/>
      <w:sz w:val="28"/>
      <w:szCs w:val="28"/>
    </w:rPr>
  </w:style>
  <w:style w:type="paragraph" w:styleId="Tretekstu">
    <w:name w:val="Treść tekstu"/>
    <w:basedOn w:val="Normal"/>
    <w:pPr>
      <w:spacing w:lineRule="auto" w:line="288" w:before="0" w:after="140"/>
    </w:pPr>
    <w:rPr/>
  </w:style>
  <w:style w:type="paragraph" w:styleId="Lista">
    <w:name w:val="Lista"/>
    <w:basedOn w:val="Tretekstu"/>
    <w:pPr/>
    <w:rPr>
      <w:rFonts w:cs="Arial"/>
    </w:rPr>
  </w:style>
  <w:style w:type="paragraph" w:styleId="Podpis">
    <w:name w:val="Podpis"/>
    <w:basedOn w:val="Normal"/>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ListParagraph">
    <w:name w:val="List Paragraph"/>
    <w:basedOn w:val="Normal"/>
    <w:uiPriority w:val="34"/>
    <w:qFormat/>
    <w:rsid w:val="00f11fd9"/>
    <w:pPr>
      <w:spacing w:before="0" w:after="160"/>
      <w:ind w:left="720" w:hanging="0"/>
      <w:contextualSpacing/>
    </w:pPr>
    <w:rPr/>
  </w:style>
  <w:style w:type="paragraph" w:styleId="Annotationtext">
    <w:name w:val="annotation text"/>
    <w:basedOn w:val="Normal"/>
    <w:link w:val="TekstkomentarzaZnak"/>
    <w:uiPriority w:val="99"/>
    <w:unhideWhenUsed/>
    <w:qFormat/>
    <w:rsid w:val="00f11fd9"/>
    <w:pPr>
      <w:spacing w:lineRule="auto" w:line="240"/>
    </w:pPr>
    <w:rPr>
      <w:sz w:val="20"/>
      <w:szCs w:val="20"/>
    </w:rPr>
  </w:style>
  <w:style w:type="paragraph" w:styleId="Annotationsubject">
    <w:name w:val="annotation subject"/>
    <w:basedOn w:val="Annotationtext"/>
    <w:link w:val="TematkomentarzaZnak"/>
    <w:uiPriority w:val="99"/>
    <w:semiHidden/>
    <w:unhideWhenUsed/>
    <w:qFormat/>
    <w:rsid w:val="00cf3a48"/>
    <w:pPr/>
    <w:rPr>
      <w:b/>
      <w:bCs/>
    </w:rPr>
  </w:style>
  <w:style w:type="paragraph" w:styleId="Cytaty">
    <w:name w:val="Cytaty"/>
    <w:basedOn w:val="Normal"/>
    <w:qFormat/>
    <w:pPr/>
    <w:rPr/>
  </w:style>
  <w:style w:type="paragraph" w:styleId="Tytu">
    <w:name w:val="Tytuł"/>
    <w:basedOn w:val="Nagwek"/>
    <w:pPr/>
    <w:rPr/>
  </w:style>
  <w:style w:type="paragraph" w:styleId="Podtytu">
    <w:name w:val="Podtytuł"/>
    <w:basedOn w:val="Nagwek"/>
    <w:pPr/>
    <w:rPr/>
  </w:style>
  <w:style w:type="numbering" w:styleId="NoList" w:default="1">
    <w:name w:val="No List"/>
    <w:uiPriority w:val="99"/>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table" w:customStyle="1" w:styleId="Tabelasiatki5ciemnaakcent21">
    <w:name w:val="Tabela siatki 5 — ciemna — akcent 21"/>
    <w:basedOn w:val="Standardowy"/>
    <w:uiPriority w:val="50"/>
    <w:rsid w:val="0074438d"/>
    <w:pPr>
      <w:spacing w:after="0" w:line="240" w:lineRule="auto"/>
    </w:pPr>
    <w:rPr>
      <w:rFonts w:eastAsiaTheme="minorEastAsia"/>
      <w:szCs w:val="21"/>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sz w:val="22"/>
      </w:rPr>
      <w:tblPr/>
      <w:tcPr>
        <w:shd w:val="clear" w:color="auto" w:fill="2596BE"/>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rPr>
      <w:tblPr/>
      <w:tcPr>
        <w:shd w:val="clear" w:color="auto" w:fill="2596BE"/>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blPr/>
      <w:tcPr>
        <w:shd w:val="clear" w:color="auto" w:fill="FBE4D5" w:themeFill="accent2" w:themeFillTint="33"/>
      </w:tcPr>
    </w:tblStylePr>
    <w:tblStylePr w:type="band2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iatki5ciemnaakcent1">
    <w:name w:val="Grid Table 5 Dark Accent 1"/>
    <w:basedOn w:val="Standardowy"/>
    <w:uiPriority w:val="50"/>
    <w:rsid w:val="002d60b6"/>
    <w:pPr>
      <w:spacing w:after="0" w:line="240" w:lineRule="auto"/>
    </w:pPr>
    <w:rPr>
      <w:sz w:val="20"/>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rPr>
      <w:tblPr/>
      <w:tcPr>
        <w:shd w:val="clear" w:color="auto" w:fill="EC2C34"/>
      </w:tcPr>
    </w:tblStylePr>
    <w:tblStylePr w:type="lastRow">
      <w:rPr>
        <w:b/>
        <w:bCs/>
        <w:color w:val="FFFFFF" w:themeColor="background1"/>
      </w:rPr>
      <w:tblPr/>
      <w:tcPr>
        <w:shd w:val="clear" w:color="auto" w:fill="EC2C34"/>
      </w:tcPr>
    </w:tblStylePr>
    <w:tblStylePr w:type="firstCol">
      <w:rPr>
        <w:b/>
        <w:bCs/>
        <w:color w:val="FFFFFF" w:themeColor="background1"/>
      </w:rPr>
      <w:tblPr/>
      <w:tcPr>
        <w:shd w:val="clear" w:color="auto" w:fill="EC2C34"/>
      </w:tcPr>
    </w:tblStylePr>
    <w:tblStylePr w:type="lastCol">
      <w:rPr>
        <w:b/>
        <w:bCs/>
        <w:color w:val="FFFFFF" w:themeColor="background1"/>
      </w:rPr>
      <w:tblPr/>
      <w:tcPr>
        <w:shd w:val="clear" w:color="auto" w:fill="EC2C34"/>
      </w:tcPr>
    </w:tblStylePr>
    <w:tblStylePr w:type="band1Vert">
      <w:tblPr/>
      <w:tcPr>
        <w:shd w:val="clear" w:color="auto" w:fill="EDEDED" w:themeFill="accent3" w:themeFillTint="33"/>
      </w:tcPr>
    </w:tblStylePr>
    <w:tblStylePr w:type="band2Vert">
      <w:tblPr/>
      <w:tcPr>
        <w:shd w:val="clear" w:color="auto" w:fill="EDEDED" w:themeFill="accent3" w:themeFillTint="33"/>
      </w:tcPr>
    </w:tblStylePr>
    <w:tblStylePr w:type="band1Horz">
      <w:tblPr/>
      <w:tcPr>
        <w:shd w:val="clear" w:color="auto" w:fill="EDEDED" w:themeFill="accent3" w:themeFillTint="33"/>
      </w:tcPr>
    </w:tblStylePr>
    <w:tblStylePr w:type="band2Horz">
      <w:tblPr/>
      <w:tcPr>
        <w:shd w:val="clear" w:color="auto" w:fill="EDEDED" w:themeFill="accent3" w:themeFillTint="33"/>
      </w:tcPr>
    </w:tblStylePr>
  </w:style>
  <w:style w:type="table" w:customStyle="1" w:styleId="Styl2">
    <w:name w:val="Styl2"/>
    <w:basedOn w:val="redniasiatka1akcent1"/>
    <w:uiPriority w:val="99"/>
    <w:rsid w:val="00256a4f"/>
    <w:rPr>
      <w:lang w:eastAsia="pl-PL"/>
      <w:sz w:val="20"/>
      <w:szCs w:val="20"/>
    </w:rPr>
    <w:tblPr>
      <w:tblBorders>
        <w:top w:val="single" w:color="FFFF00" w:sz="4" w:space="0"/>
        <w:left w:val="single" w:color="FFFF00" w:sz="4" w:space="0"/>
        <w:bottom w:val="single" w:color="FFFF00" w:sz="4" w:space="0"/>
        <w:right w:val="single" w:color="FFFF00" w:sz="4" w:space="0"/>
        <w:insideH w:val="single" w:color="FFFF00" w:sz="4" w:space="0"/>
        <w:insideV w:val="single" w:color="FFFF00" w:sz="4" w:space="0"/>
      </w:tblBorders>
    </w:tblPr>
    <w:tblStylePr w:type="firstRow">
      <w:rPr>
        <w:b/>
        <w:bCs/>
        <w:color w:val="FFFFFF" w:themeColor="background1"/>
        <w:sz w:val="20"/>
      </w:rPr>
      <w:tblPr/>
      <w:tcPr>
        <w:tcBorders>
          <w:top w:val="single" w:color="FFFF00" w:sz="4" w:space="0"/>
          <w:left w:val="single" w:color="FFFF00" w:sz="4" w:space="0"/>
          <w:bottom w:val="single" w:color="FFFF00" w:sz="4" w:space="0"/>
          <w:right w:val="single" w:color="FFFF00" w:sz="4" w:space="0"/>
          <w:insideH w:val="single" w:color="FFFF00" w:sz="4" w:space="0"/>
          <w:insideV w:val="single" w:color="FFFF00" w:sz="4" w:space="0"/>
        </w:tcBorders>
        <w:shd w:val="clear" w:color="auto" w:fill="EC2C34"/>
      </w:tcPr>
    </w:tblStylePr>
    <w:tblStylePr w:type="lastRow">
      <w:rPr>
        <w:b/>
        <w:bCs/>
      </w:rPr>
      <w:tblPr/>
      <w:tcPr>
        <w:tcBorders>
          <w:top w:val="single" w:color="7295D2" w:themeColor="accent1" w:sz="18" w:space="0"/>
        </w:tcBorders>
      </w:tcPr>
    </w:tblStylePr>
    <w:tblStylePr w:type="firstCol">
      <w:rPr>
        <w:b/>
        <w:bCs/>
        <w:color w:val="FFFFFF" w:themeColor="background1"/>
        <w:sz w:val="20"/>
      </w:rPr>
      <w:tblPr/>
      <w:tcPr>
        <w:tcBorders>
          <w:top w:val="single" w:color="FFFF00" w:sz="4" w:space="0"/>
          <w:left w:val="single" w:color="FFFF00" w:sz="4" w:space="0"/>
          <w:bottom w:val="single" w:color="FFFF00" w:sz="4" w:space="0"/>
          <w:right w:val="single" w:color="FFFF00" w:sz="4" w:space="0"/>
          <w:insideH w:val="single" w:color="FFFF00" w:sz="4" w:space="0"/>
          <w:insideV w:val="single" w:color="FFFF00" w:sz="4" w:space="0"/>
        </w:tcBorders>
        <w:shd w:val="clear" w:color="auto" w:fill="EC2C34"/>
      </w:tcPr>
    </w:tblStylePr>
    <w:tblStylePr w:type="lastCol">
      <w:rPr>
        <w:b/>
        <w:bCs/>
      </w:rPr>
      <w:tblPr/>
    </w:tblStylePr>
    <w:tblStylePr w:type="band1Vert">
      <w:tblPr/>
      <w:tcPr>
        <w:shd w:val="clear" w:color="auto" w:fill="E7E6E6" w:themeFill="background2"/>
      </w:tcPr>
    </w:tblStylePr>
    <w:tblStylePr w:type="band2Vert">
      <w:tblPr/>
      <w:tcPr>
        <w:shd w:val="clear" w:color="auto" w:fill="E7E6E6" w:themeFill="background2"/>
      </w:tcPr>
    </w:tblStylePr>
    <w:tblStylePr w:type="band1Horz">
      <w:tblPr/>
      <w:tcPr>
        <w:shd w:val="clear" w:color="auto" w:fill="E7E6E6" w:themeFill="background2"/>
      </w:tcPr>
    </w:tblStylePr>
    <w:tblStylePr w:type="band2Horz">
      <w:tblPr/>
      <w:tcPr>
        <w:shd w:val="clear" w:color="auto" w:fill="E7E6E6" w:themeFill="background2"/>
      </w:tcPr>
    </w:tblStylePr>
  </w:style>
  <w:style w:type="table" w:styleId="redniasiatka1akcent1">
    <w:name w:val="Medium Grid 1 Accent 1"/>
    <w:basedOn w:val="Standardowy"/>
    <w:uiPriority w:val="67"/>
    <w:semiHidden/>
    <w:unhideWhenUsed/>
    <w:rsid w:val="00256a4f"/>
    <w:pPr>
      <w:spacing w:after="0" w:line="240" w:lineRule="auto"/>
    </w:pPr>
    <w:tblPr>
      <w:tblStyleRowBandSize w:val="1"/>
      <w:tblStyleColBandSize w:val="1"/>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insideV w:val="single" w:color="7295D2" w:themeColor="accent1" w:themeTint="bf" w:sz="8" w:space="0"/>
      </w:tblBorders>
    </w:tblPr>
    <w:tcPr>
      <w:shd w:val="clear" w:color="auto" w:fill="D0DBF0" w:themeFill="accent1" w:themeFillTint="3f"/>
    </w:tcPr>
    <w:tblStylePr w:type="firstRow">
      <w:rPr>
        <w:b/>
        <w:bCs/>
      </w:rPr>
      <w:tblPr/>
    </w:tblStylePr>
    <w:tblStylePr w:type="lastRow">
      <w:rPr>
        <w:b/>
        <w:bCs/>
      </w:rPr>
      <w:tblPr/>
      <w:tcPr>
        <w:tcBorders>
          <w:top w:val="single" w:color="7295D2" w:themeColor="accent1" w:sz="18" w:space="0"/>
        </w:tcBorders>
      </w:tcPr>
    </w:tblStylePr>
    <w:tblStylePr w:type="firstCol">
      <w:rPr>
        <w:b/>
        <w:bCs/>
      </w:rPr>
      <w:tblPr/>
    </w:tblStylePr>
    <w:tblStylePr w:type="lastCol">
      <w:rPr>
        <w:b/>
        <w:bCs/>
      </w:rPr>
      <w:tbl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Application>LibreOffice/4.4.5.2$Windows_x86 LibreOffice_project/a22f674fd25a3b6f45bdebf25400ed2adff0ff99</Application>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2023-10-06T11:50:00Z</dcterms:created>
  <dc:creator>Małgorzata Damięcka</dc:creator>
  <dc:language>pl-PL</dc:language>
  <cp:lastPrinted>2025-10-03T10:01:51Z</cp:lastPrinted>
  <dcterms:modified xsi:type="dcterms:W3CDTF">2025-10-03T10:17:44Z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