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4820"/>
        <w:jc w:val="right"/>
        <w:rPr>
          <w:rFonts w:ascii="Times New Roman" w:hAnsi="Times New Roman" w:cs="Times New Roman"/>
          <w:b/>
          <w:b/>
          <w:bCs/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</w:rPr>
        <w:t>Projekt</w:t>
      </w:r>
    </w:p>
    <w:p>
      <w:pPr>
        <w:pStyle w:val="Normal"/>
        <w:ind w:firstLine="4820"/>
        <w:rPr>
          <w:rFonts w:ascii="Times New Roman" w:hAnsi="Times New Roman" w:cs="Times New Roman"/>
          <w:b/>
          <w:b/>
          <w:bCs/>
          <w:i/>
          <w:i/>
          <w:iCs/>
        </w:rPr>
      </w:pPr>
      <w:r>
        <w:rPr>
          <w:rFonts w:cs="Times New Roman" w:ascii="Times New Roman" w:hAnsi="Times New Roman"/>
          <w:b/>
          <w:bCs/>
          <w:i/>
          <w:iCs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pl-PL"/>
        </w:rPr>
        <w:t>UCHWAŁA NR …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pl-PL"/>
        </w:rPr>
        <w:t>RADY GMINY KUŹNICA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pl-PL"/>
        </w:rPr>
        <w:t>z dnia …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bCs/>
          <w:lang w:eastAsia="pl-PL"/>
        </w:rPr>
      </w:pPr>
      <w:r>
        <w:rPr>
          <w:rFonts w:eastAsia="Times New Roman" w:cs="Times New Roman" w:ascii="Times New Roman" w:hAnsi="Times New Roman"/>
          <w:b/>
          <w:bCs/>
          <w:lang w:eastAsia="pl-PL"/>
        </w:rPr>
        <w:t>w sprawie wyznaczenia obszaru zdegradowanego i obszaru rewitalizacji na terenie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bCs/>
          <w:lang w:eastAsia="pl-PL"/>
        </w:rPr>
      </w:pPr>
      <w:r>
        <w:rPr>
          <w:rFonts w:eastAsia="Times New Roman" w:cs="Times New Roman" w:ascii="Times New Roman" w:hAnsi="Times New Roman"/>
          <w:b/>
          <w:bCs/>
          <w:lang w:eastAsia="pl-PL"/>
        </w:rPr>
        <w:t>Gminy Kuźnica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bookmarkStart w:id="0" w:name="p0"/>
      <w:bookmarkEnd w:id="0"/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Na podstawie art. 18 ust. 2 pkt 15 ustawy z dnia 8 marca 1990 r. o samorządzie gminnym </w:t>
      </w:r>
      <w:r>
        <w:rPr>
          <w:rFonts w:cs="Times New Roman" w:ascii="Times New Roman" w:hAnsi="Times New Roman"/>
          <w:sz w:val="24"/>
          <w:szCs w:val="24"/>
        </w:rPr>
        <w:t>(Dz. U. z 2025 r. poz. 1153)</w:t>
      </w: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 oraz art. 8 ust. 1 i art. 11 ust. 5 pkt. 1 ustawy z dnia 9 października 2015 r. o rewitalizacji (Dz. U. z 2024 r. poz. 278) Rada Gminy Kuźnica uchwala, co następuje: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keepNext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color w:val="000000"/>
          <w:lang w:eastAsia="pl-PL"/>
        </w:rPr>
        <w:t>§ 1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Wyznacza się obszar zdegradowany i obszar rewitalizacji na terenie Gminy Kuźnica, w granicach określonych w załączniku graficznym do niniejszej uchwały.</w:t>
      </w:r>
    </w:p>
    <w:p>
      <w:pPr>
        <w:pStyle w:val="Normal"/>
        <w:keepNext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color w:val="000000"/>
          <w:lang w:eastAsia="pl-PL"/>
        </w:rPr>
      </w:r>
    </w:p>
    <w:p>
      <w:pPr>
        <w:pStyle w:val="Normal"/>
        <w:keepNext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lang w:eastAsia="pl-PL"/>
        </w:rPr>
      </w:pPr>
      <w:bookmarkStart w:id="1" w:name="z2"/>
      <w:bookmarkEnd w:id="1"/>
      <w:r>
        <w:rPr>
          <w:rFonts w:eastAsia="Times New Roman" w:cs="Times New Roman" w:ascii="Times New Roman" w:hAnsi="Times New Roman"/>
          <w:b/>
          <w:color w:val="000000"/>
          <w:lang w:eastAsia="pl-PL"/>
        </w:rPr>
        <w:t>§ 2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Ustanawia się na rzecz Gminy Kuźnica prawo pierwokupu nieruchomości położonych na obszarze rewitalizacji na działkach ewidencyjnych o numerach 504 i 1207, obręb Kuźnica.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keepNext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color w:val="000000"/>
          <w:lang w:eastAsia="pl-PL"/>
        </w:rPr>
        <w:t>§ 3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Wykonanie uchwały powierza się Wójtowi Gminy Kuźnica.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keepNext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color w:val="000000"/>
          <w:lang w:eastAsia="pl-PL"/>
        </w:rPr>
        <w:t>§ 4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Traci moc uchwała nr XXIII/155/17 Rady Gminy Kuźnica z dnia 6 lipca 2017 r. w sprawie wyznaczenia obszaru zdegradowanego i obszaru rewitalizacji na terenie Gminy Kuźnica (Dz. Urz. Woj. Podl. poz. 2767). </w:t>
      </w:r>
    </w:p>
    <w:p>
      <w:pPr>
        <w:pStyle w:val="Normal"/>
        <w:spacing w:lineRule="auto" w:line="360" w:before="0" w:after="0"/>
        <w:jc w:val="both"/>
        <w:rPr/>
      </w:pPr>
      <w:r>
        <w:rPr/>
      </w:r>
    </w:p>
    <w:p>
      <w:pPr>
        <w:pStyle w:val="Normal"/>
        <w:keepNext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color w:val="000000"/>
          <w:lang w:eastAsia="pl-PL"/>
        </w:rPr>
        <w:t>§ 5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bookmarkStart w:id="2" w:name="z3"/>
      <w:bookmarkEnd w:id="2"/>
      <w:r>
        <w:rPr>
          <w:rFonts w:eastAsia="Times New Roman" w:cs="Times New Roman" w:ascii="Times New Roman" w:hAnsi="Times New Roman"/>
          <w:color w:val="000000"/>
          <w:lang w:eastAsia="pl-PL"/>
        </w:rPr>
        <w:t>Uchwała wchodzi w życie po upływie 14 dni od dnia ogłoszenia w Dzienniku Urzędowym Województwa Podlaskiego.</w:t>
      </w:r>
      <w:r>
        <w:br w:type="page"/>
      </w:r>
    </w:p>
    <w:p>
      <w:pPr>
        <w:pStyle w:val="Normal"/>
        <w:keepNext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pl-PL"/>
        </w:rPr>
        <w:t>UZASADNIENIE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Zasady oraz tryb przygotowywania, prowadzenia i oceny rewitalizacji określone zostały w ustawie z dnia 9 października 2015 r.  o rewitalizacji. Zgodnie z art. 3 ust. 1 ww. ustawy przygotowanie, koordynowanie i tworzenie warunków do prowadzenia rewitalizacji, a także jej realizacja w zakresie właściwości stanowią zadania własne gminy.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Rewitalizacja stanowi kompleksowy oraz skoordynowany proces zintegrowanych działań na rzecz lokalnej społeczności, przestrzeni i gospodarki. Proces ten, skoncentrowany terytorialnie, ma na celu wyprowadzenie ze stanu kryzysowego obszarów zdegradowanych oraz poprawę jakości życia mieszkańców. Jednym z kluczowych założeń rewitalizacji jest partycypacja społeczna zapewniająca aktywny udział interesariuszy rewitalizacji w procesie przygotowania, prowadzenia oraz oceny rewitalizacji. Podstawą działań interesariuszy jest gminny program rewitalizacji, który sporządzany jest dla obszarów zdegradowanych obejmujących obszary przewidziane do rewitalizacji.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Zgodnie z art. 8 ust. 1 w zw. z art. 11 ustawy o rewitalizacji, rada gminy wyznacza w drodze uchwały obszar zdegradowany i obszar rewitalizacji, którego granice wyznacza się na załączonej mapie wykonanej w skali co najmniej 1:5000.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Dlatego też, działając na podstawie art. 8 ust. 1 ustawy o rewitalizacji, Rada Gminy Kuźnica, w efekcie przeprowadzonych analiz, diagnoz oraz konsultacji społecznych, wyznacza obszar zdegradowany oraz obszar rewitalizacji.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 xml:space="preserve">Wyznaczenie obszaru zdegradowanego i obszaru rewitalizacji umożliwi opracowanie kompleksowego i zgodnego z ustawodawstwem, Gminnego Programu Rewitalizacji dla Gminy Kuźnica, którego treść, w tym przede wszystkim cele, kierunki i przedsięwzięcia rewitalizacyjne, a także system monitorowania i oceny programu, zapewni jego skuteczność i efektywność. Realizacja podstawowych i uzupełniających przedsięwzięć rewitalizacyjnych, przyczyni się do rozwiązania zdiagnozowanych zjawisk kryzysowych w sferze społecznej, a także związanych z nimi problemów występujących w sferze gospodarczej, środowiskowej, przestrzenno-funkcjonalnej i technicznej, co przełoży się w sposób bezpośredni na podniesienie jakości życia mieszkańców.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lang w:eastAsia="pl-PL"/>
        </w:rPr>
      </w:pPr>
      <w:r>
        <w:rPr>
          <w:rFonts w:eastAsia="Times New Roman" w:cs="Times New Roman" w:ascii="Times New Roman" w:hAnsi="Times New Roman"/>
          <w:color w:val="000000"/>
          <w:lang w:eastAsia="pl-PL"/>
        </w:rPr>
        <w:t>Projekt uchwały w sprawie wyznaczenia obszaru zdegradowanego oraz obszaru rewitalizacji na terenie Gminy Kuźnica został poddany konsultacjom społecznym w dniach od 6 października do 12 listopada 2025 r., które obejmowały formy: zbierania uwag w postaci papierowej i elektronicznej za pomocą formularza, ankiety on-line oraz spotkania konsultacyjnego.</w:t>
      </w:r>
    </w:p>
    <w:p>
      <w:pPr>
        <w:pStyle w:val="Normal"/>
        <w:widowControl/>
        <w:suppressAutoHyphens w:val="true"/>
        <w:bidi w:val="0"/>
        <w:spacing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  <w14:ligatures w14:val="standardContextual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4970"/>
    <w:pPr>
      <w:widowControl/>
      <w:suppressAutoHyphens w:val="true"/>
      <w:bidi w:val="0"/>
      <w:spacing w:before="0" w:after="160" w:lineRule="auto" w:line="259"/>
      <w:jc w:val="left"/>
    </w:pPr>
    <w:rPr>
      <w:rFonts w:ascii="Calibri" w:hAnsi="Calibri" w:eastAsia="Calibri" w:cs=""/>
      <w:color w:val="auto"/>
      <w:sz w:val="22"/>
      <w:szCs w:val="22"/>
      <w:lang w:val="pl-PL" w:eastAsia="en-US" w:bidi="ar-SA"/>
      <w14:ligatures w14:val="none"/>
    </w:rPr>
  </w:style>
  <w:style w:type="paragraph" w:styleId="Nagwek1">
    <w:name w:val="Nagłówek 1"/>
    <w:basedOn w:val="Gwka"/>
    <w:pPr>
      <w:outlineLvl w:val="0"/>
    </w:pPr>
    <w:rPr/>
  </w:style>
  <w:style w:type="paragraph" w:styleId="Nagwek2">
    <w:name w:val="Nagłówek 2"/>
    <w:basedOn w:val="Gwka"/>
    <w:pPr>
      <w:outlineLvl w:val="1"/>
    </w:pPr>
    <w:rPr/>
  </w:style>
  <w:style w:type="paragraph" w:styleId="Nagwek3">
    <w:name w:val="Nagłówek 3"/>
    <w:basedOn w:val="Gwka"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f5497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f54970"/>
    <w:rPr>
      <w:sz w:val="20"/>
      <w:szCs w:val="20"/>
      <w14:ligatures w14:val="none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744e1d"/>
    <w:rPr>
      <w:b/>
      <w:bCs/>
      <w:sz w:val="20"/>
      <w:szCs w:val="20"/>
      <w14:ligatures w14:val="none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 w:customStyle="1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">
    <w:name w:val="Główka"/>
    <w:basedOn w:val="Normal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ygnatura">
    <w:name w:val="Sygnatura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f5497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744e1d"/>
    <w:pPr/>
    <w:rPr>
      <w:b/>
      <w:bCs/>
    </w:rPr>
  </w:style>
  <w:style w:type="paragraph" w:styleId="Cytaty" w:customStyle="1">
    <w:name w:val="Cytaty"/>
    <w:basedOn w:val="Normal"/>
    <w:qFormat/>
    <w:pPr/>
    <w:rPr/>
  </w:style>
  <w:style w:type="paragraph" w:styleId="Tytu">
    <w:name w:val="Tytuł"/>
    <w:basedOn w:val="Gwka"/>
    <w:pPr/>
    <w:rPr/>
  </w:style>
  <w:style w:type="paragraph" w:styleId="Podtytu">
    <w:name w:val="Podtytuł"/>
    <w:basedOn w:val="Gwka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21">
    <w:name w:val="Tabela siatki 5 — ciemna — akcent 21"/>
    <w:basedOn w:val="Standardowy"/>
    <w:uiPriority w:val="50"/>
    <w:rsid w:val="0074438d"/>
    <w:pPr>
      <w:spacing w:line="240" w:lineRule="auto"/>
    </w:pPr>
    <w:rPr>
      <w:rFonts w:eastAsiaTheme="minorEastAsia"/>
      <w:szCs w:val="21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:sz w:val="22"/>
      </w:rPr>
      <w:tblPr/>
      <w:tcPr>
        <w:shd w:val="clear" w:color="auto" w:fill="2596BE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2596BE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2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iatki5ciemnaakcent1">
    <w:name w:val="Grid Table 5 Dark Accent 1"/>
    <w:basedOn w:val="Standardowy"/>
    <w:uiPriority w:val="50"/>
    <w:rsid w:val="002d60b6"/>
    <w:pPr>
      <w:spacing w:line="240" w:lineRule="auto"/>
    </w:pPr>
    <w:rPr>
      <w:sz w:val="20"/>
    </w:r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EC2C34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EC2C3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C2C34"/>
      </w:tcPr>
    </w:tblStylePr>
    <w:tblStylePr w:type="lastCol">
      <w:rPr>
        <w:b/>
        <w:bCs/>
        <w:color w:val="FFFFFF" w:themeColor="background1"/>
      </w:rPr>
      <w:tblPr/>
      <w:tcPr>
        <w:shd w:val="clear" w:color="auto" w:fill="EC2C34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2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band2Horz">
      <w:tblPr/>
      <w:tcPr>
        <w:shd w:val="clear" w:color="auto" w:fill="EDEDED" w:themeFill="accent3" w:themeFillTint="33"/>
      </w:tcPr>
    </w:tblStylePr>
  </w:style>
  <w:style w:type="table" w:customStyle="1" w:styleId="Styl2">
    <w:name w:val="Styl2"/>
    <w:basedOn w:val="redniasiatka1akcent1"/>
    <w:uiPriority w:val="99"/>
    <w:rsid w:val="00256a4f"/>
    <w:pPr>
      <w:spacing w:line="259" w:lineRule="auto"/>
    </w:pPr>
    <w:rPr>
      <w:lang w:eastAsia="pl-PL"/>
      <w:sz w:val="20"/>
      <w:szCs w:val="20"/>
    </w:rPr>
    <w:tblPr>
      <w:tblBorders>
        <w:top w:val="single" w:color="FFFF00" w:sz="4" w:space="0"/>
        <w:left w:val="single" w:color="FFFF00" w:sz="4" w:space="0"/>
        <w:bottom w:val="single" w:color="FFFF00" w:sz="4" w:space="0"/>
        <w:right w:val="single" w:color="FFFF00" w:sz="4" w:space="0"/>
        <w:insideH w:val="single" w:color="FFFF00" w:sz="4" w:space="0"/>
        <w:insideV w:val="single" w:color="FFFF00" w:sz="4" w:space="0"/>
      </w:tblBorders>
      <w:tblCellMar>
        <w:left w:w="0" w:type="dxa"/>
        <w:right w:w="0" w:type="dxa"/>
      </w:tblCellMar>
    </w:tblPr>
    <w:tblStylePr w:type="firstRow">
      <w:rPr>
        <w:b/>
        <w:bCs/>
        <w:color w:val="FFFFFF" w:themeColor="background1"/>
        <w:sz w:val="20"/>
      </w:rPr>
      <w:tblPr/>
      <w:tcPr>
        <w:tcBorders>
          <w:top w:val="single" w:color="FFFF00" w:sz="4" w:space="0"/>
          <w:left w:val="single" w:color="FFFF00" w:sz="4" w:space="0"/>
          <w:bottom w:val="single" w:color="FFFF00" w:sz="4" w:space="0"/>
          <w:right w:val="single" w:color="FFFF00" w:sz="4" w:space="0"/>
          <w:insideH w:val="single" w:color="FFFF00" w:sz="4" w:space="0"/>
          <w:insideV w:val="single" w:color="FFFF00" w:sz="4" w:space="0"/>
        </w:tcBorders>
        <w:shd w:val="clear" w:color="auto" w:fill="EC2C34"/>
      </w:tcPr>
    </w:tblStylePr>
    <w:tblStylePr w:type="lastRow">
      <w:rPr>
        <w:b/>
        <w:bCs/>
      </w:rPr>
      <w:tblPr/>
      <w:tcPr>
        <w:tcBorders>
          <w:top w:val="single" w:color="4472C4" w:themeColor="accent1" w:sz="18" w:space="0"/>
        </w:tcBorders>
      </w:tcPr>
    </w:tblStylePr>
    <w:tblStylePr w:type="firstCol">
      <w:rPr>
        <w:b/>
        <w:bCs/>
        <w:color w:val="FFFFFF" w:themeColor="background1"/>
        <w:sz w:val="20"/>
      </w:rPr>
      <w:tblPr/>
      <w:tcPr>
        <w:tcBorders>
          <w:top w:val="single" w:color="FFFF00" w:sz="4" w:space="0"/>
          <w:left w:val="single" w:color="FFFF00" w:sz="4" w:space="0"/>
          <w:bottom w:val="single" w:color="FFFF00" w:sz="4" w:space="0"/>
          <w:right w:val="single" w:color="FFFF00" w:sz="4" w:space="0"/>
          <w:insideH w:val="single" w:color="FFFF00" w:sz="4" w:space="0"/>
          <w:insideV w:val="single" w:color="FFFF00" w:sz="4" w:space="0"/>
        </w:tcBorders>
        <w:shd w:val="clear" w:color="auto" w:fill="EC2C34"/>
      </w:tcPr>
    </w:tblStylePr>
    <w:tblStylePr w:type="lastCol">
      <w:rPr>
        <w:b/>
        <w:bCs/>
      </w:rPr>
      <w:tblPr/>
    </w:tblStylePr>
    <w:tblStylePr w:type="band1Vert">
      <w:tblPr/>
      <w:tcPr>
        <w:shd w:val="clear" w:color="auto" w:fill="E7E6E6" w:themeFill="background2"/>
      </w:tcPr>
    </w:tblStylePr>
    <w:tblStylePr w:type="band2Vert">
      <w:tblPr/>
      <w:tcPr>
        <w:shd w:val="clear" w:color="auto" w:fill="E7E6E6" w:themeFill="background2"/>
      </w:tcPr>
    </w:tblStylePr>
    <w:tblStylePr w:type="band1Horz">
      <w:tblPr/>
      <w:tcPr>
        <w:shd w:val="clear" w:color="auto" w:fill="E7E6E6" w:themeFill="background2"/>
      </w:tcPr>
    </w:tblStylePr>
    <w:tblStylePr w:type="band2Horz">
      <w:tblPr/>
      <w:tcPr>
        <w:shd w:val="clear" w:color="auto" w:fill="E7E6E6" w:themeFill="background2"/>
      </w:tcPr>
    </w:tblStylePr>
  </w:style>
  <w:style w:type="table" w:styleId="redniasiatka1akcent1">
    <w:name w:val="Medium Grid 1 Accent 1"/>
    <w:basedOn w:val="Standardowy"/>
    <w:uiPriority w:val="67"/>
    <w:semiHidden/>
    <w:unhideWhenUsed/>
    <w:rsid w:val="00256a4f"/>
    <w:pPr>
      <w:spacing w:line="240" w:lineRule="auto"/>
    </w:pPr>
    <w:tblPr>
      <w:tblStyleRowBandSize w:val="1"/>
      <w:tblStyleColBandSize w:val="1"/>
      <w:tblBorders>
        <w:top w:val="single" w:color="7295D2" w:themeColor="accent1" w:themeTint="bf" w:sz="8" w:space="0"/>
        <w:left w:val="single" w:color="7295D2" w:themeColor="accent1" w:themeTint="bf" w:sz="8" w:space="0"/>
        <w:bottom w:val="single" w:color="7295D2" w:themeColor="accent1" w:themeTint="bf" w:sz="8" w:space="0"/>
        <w:right w:val="single" w:color="7295D2" w:themeColor="accent1" w:themeTint="bf" w:sz="8" w:space="0"/>
        <w:insideH w:val="single" w:color="7295D2" w:themeColor="accent1" w:themeTint="bf" w:sz="8" w:space="0"/>
        <w:insideV w:val="single" w:color="7295D2" w:themeColor="accent1" w:themeTint="bf" w:sz="8" w:space="0"/>
      </w:tblBorders>
    </w:tblPr>
    <w:tcPr>
      <w:shd w:val="clear" w:color="auto" w:fill="D0DBF0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472C4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LibreOffice/4.4.5.2$Windows_x86 LibreOffice_project/a22f674fd25a3b6f45bdebf25400ed2adff0ff99</Application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2025-10-04T16:44:00Z</dcterms:created>
  <dc:creator>Małgorzata Damięcka</dc:creator>
  <dc:language>pl-PL</dc:language>
  <cp:lastModifiedBy>Urszula Dunaj</cp:lastModifiedBy>
  <cp:lastPrinted>2025-10-06T08:32:44Z</cp:lastPrinted>
  <dcterms:modified xsi:type="dcterms:W3CDTF">2025-10-04T18:10:00Z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